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OW_GERICHTE VVGE 2007/08 Nr. 42 vom 25. April 2007</w:t>
      </w:r>
    </w:p>
    <w:p>
      <w:r>
        <w:t>OW Obergericht, 2007-04-25, DE</w:t>
      </w:r>
    </w:p>
    <w:p>
      <w:r>
        <w:rPr>
          <w:b/>
        </w:rPr>
        <w:t xml:space="preserve">Quelle: </w:t>
      </w:r>
      <w:r>
        <w:t>https://mcp.opencaselaw.ch/entscheid/ow_gerichte_VVGE 2007_08 Nr. 42</w:t>
      </w:r>
    </w:p>
    <w:p>
      <w:r>
        <w:t>FR: OW_GERICHTE VVGE 2007/08 Nr. 42 du 25 avril 2007</w:t>
      </w:r>
    </w:p>
    <w:p>
      <w:r>
        <w:t>IT: OW_GERICHTE VVGE 2007/08 Nr. 42 del 25 aprile 2007</w:t>
      </w:r>
    </w:p>
    <w:p>
      <w:pPr>
        <w:pStyle w:val="Heading2"/>
      </w:pPr>
      <w:r>
        <w:t>Regeste</w:t>
      </w:r>
    </w:p>
    <w:p>
      <w:r>
        <w:t>VVGE 2007/08 Nr. 42, S. 192: Art. 31 Abs. 1 Bst. a KVG; Art. 17 Bst. f Ziff. 1 KLV Leistungspflicht der obligatorischen Krankenversicherung für eine Zahn getragene Apnoeschiene bei Vorliegen eines Schlafapnoesyndroms mit Krankheitswert. 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Die Beschwerde ist deshalb gutzuheissen und der Einspracheentscheid aufzuheben. Die Sache ist zur weiteren Abklärung und zur erneuten Verfügung an die Beschwerdegegnerin zurückzuweisen. de| fr | it Schlagworte krankheitswert krankenpflegeversicherung entscheid krankheit übernahme pflichtleistung diagnose verordnung gesetz einspracheentscheid verwaltungsgericht funktion versicherter sachverhalt begriff Mehr Deskriptoren anzeigen Normen Bund KVG: Art.17 Art.25 Art.31 Art.33 KVV: Art.33 KLV: Art.17 Art.19 KLV: Art.17 KLV: Art.17 Praxis (Pra) 93 Nr.166 Leitentscheide BGE 130-V-464 129-V-275 124-V-351 128-V-143 VVGE 2007/08 Nr. 42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